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6C" w:rsidRPr="00FE6A6C" w:rsidRDefault="00FE6A6C" w:rsidP="00FE6A6C">
      <w:pPr>
        <w:widowControl w:val="0"/>
        <w:spacing w:before="240" w:after="240" w:line="276" w:lineRule="auto"/>
        <w:rPr>
          <w:rFonts w:hint="cs"/>
          <w:b/>
          <w:bCs/>
          <w:sz w:val="26"/>
          <w:szCs w:val="30"/>
          <w:rtl/>
        </w:rPr>
      </w:pPr>
      <w:bookmarkStart w:id="0" w:name="_GoBack"/>
    </w:p>
    <w:p w:rsidR="00D60B53" w:rsidRDefault="00D60B53" w:rsidP="000F7AE9">
      <w:pPr>
        <w:widowControl w:val="0"/>
        <w:spacing w:before="240" w:after="240" w:line="276" w:lineRule="auto"/>
        <w:jc w:val="center"/>
        <w:rPr>
          <w:rFonts w:cs="PT Bold Heading" w:hint="cs"/>
          <w:sz w:val="130"/>
          <w:szCs w:val="130"/>
          <w:rtl/>
        </w:rPr>
      </w:pPr>
      <w:r w:rsidRPr="00FE6A6C">
        <w:rPr>
          <w:rFonts w:cs="PT Bold Heading"/>
          <w:sz w:val="130"/>
          <w:szCs w:val="130"/>
          <w:rtl/>
        </w:rPr>
        <w:t xml:space="preserve">سياسة </w:t>
      </w:r>
      <w:r w:rsidR="000F7AE9" w:rsidRPr="00FE6A6C">
        <w:rPr>
          <w:rFonts w:cs="PT Bold Heading" w:hint="cs"/>
          <w:sz w:val="130"/>
          <w:szCs w:val="130"/>
          <w:rtl/>
        </w:rPr>
        <w:t>الاشتباه بعمليات غسل الأموال وجرائم تمويل الإرهاب</w:t>
      </w:r>
    </w:p>
    <w:p w:rsidR="00144722" w:rsidRPr="00144722" w:rsidRDefault="00144722" w:rsidP="00144722">
      <w:pPr>
        <w:widowControl w:val="0"/>
        <w:spacing w:before="240" w:after="240" w:line="276" w:lineRule="auto"/>
        <w:jc w:val="center"/>
        <w:rPr>
          <w:rFonts w:cs="PT Bold Heading"/>
          <w:sz w:val="56"/>
          <w:szCs w:val="56"/>
        </w:rPr>
      </w:pPr>
      <w:r>
        <w:rPr>
          <w:rFonts w:cs="PT Bold Heading" w:hint="cs"/>
          <w:sz w:val="56"/>
          <w:szCs w:val="56"/>
          <w:rtl/>
        </w:rPr>
        <w:t>لجمعية البر الخيرية بالفيضة بالسر</w:t>
      </w:r>
    </w:p>
    <w:p w:rsidR="00D60B53" w:rsidRPr="002464E4" w:rsidRDefault="00D60B53" w:rsidP="002464E4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FE6A6C" w:rsidRDefault="00FE6A6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bookmarkEnd w:id="0"/>
    <w:p w:rsidR="002A7A9A" w:rsidRPr="008526A1" w:rsidRDefault="002A7A9A" w:rsidP="002A7A9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8054A2">
        <w:rPr>
          <w:rFonts w:ascii="Lotus Linotype" w:hAnsi="Lotus Linotype" w:cs="Lotus Linotype"/>
          <w:szCs w:val="32"/>
          <w:rtl/>
        </w:rPr>
        <w:t xml:space="preserve">تعد سياسة </w:t>
      </w:r>
      <w:r w:rsidRPr="008526A1">
        <w:rPr>
          <w:rFonts w:ascii="Lotus Linotype" w:hAnsi="Lotus Linotype" w:cs="Lotus Linotype" w:hint="cs"/>
          <w:szCs w:val="32"/>
          <w:rtl/>
        </w:rPr>
        <w:t>مؤشرات الاشتباه</w:t>
      </w:r>
      <w:r w:rsidRPr="008054A2">
        <w:rPr>
          <w:rFonts w:ascii="Lotus Linotype" w:hAnsi="Lotus Linotype" w:cs="Lotus Linotype"/>
          <w:szCs w:val="32"/>
          <w:rtl/>
        </w:rPr>
        <w:t xml:space="preserve"> </w:t>
      </w:r>
      <w:r w:rsidRPr="008526A1">
        <w:rPr>
          <w:rFonts w:ascii="Lotus Linotype" w:hAnsi="Lotus Linotype" w:cs="Lotus Linotype" w:hint="cs"/>
          <w:szCs w:val="32"/>
          <w:rtl/>
        </w:rPr>
        <w:t xml:space="preserve">بعمليات </w:t>
      </w:r>
      <w:r w:rsidRPr="008054A2">
        <w:rPr>
          <w:rFonts w:ascii="Lotus Linotype" w:hAnsi="Lotus Linotype" w:cs="Lotus Linotype"/>
          <w:szCs w:val="32"/>
          <w:rtl/>
        </w:rPr>
        <w:t>غسل الأموال و</w:t>
      </w:r>
      <w:r w:rsidR="001F2FA3">
        <w:rPr>
          <w:rFonts w:ascii="Lotus Linotype" w:hAnsi="Lotus Linotype" w:cs="Lotus Linotype" w:hint="cs"/>
          <w:szCs w:val="32"/>
          <w:rtl/>
        </w:rPr>
        <w:t xml:space="preserve">جرائم </w:t>
      </w:r>
      <w:r w:rsidRPr="008054A2">
        <w:rPr>
          <w:rFonts w:ascii="Lotus Linotype" w:hAnsi="Lotus Linotype" w:cs="Lotus Linotype"/>
          <w:szCs w:val="32"/>
          <w:rtl/>
        </w:rPr>
        <w:t xml:space="preserve">تمويل الإرهاب أحد الركائز الأساسية التي </w:t>
      </w:r>
      <w:r w:rsidRPr="008526A1">
        <w:rPr>
          <w:rFonts w:ascii="Lotus Linotype" w:hAnsi="Lotus Linotype" w:cs="Lotus Linotype" w:hint="cs"/>
          <w:szCs w:val="32"/>
          <w:rtl/>
        </w:rPr>
        <w:t>اتخذتها</w:t>
      </w:r>
      <w:r w:rsidRPr="008054A2">
        <w:rPr>
          <w:rFonts w:ascii="Lotus Linotype" w:hAnsi="Lotus Linotype" w:cs="Lotus Linotype"/>
          <w:szCs w:val="32"/>
          <w:rtl/>
        </w:rPr>
        <w:t xml:space="preserve"> </w:t>
      </w:r>
      <w:r w:rsidRPr="008526A1">
        <w:rPr>
          <w:rFonts w:ascii="Lotus Linotype" w:hAnsi="Lotus Linotype" w:cs="Lotus Linotype" w:hint="cs"/>
          <w:szCs w:val="32"/>
          <w:rtl/>
        </w:rPr>
        <w:t>الجمعية</w:t>
      </w:r>
      <w:r w:rsidRPr="008054A2">
        <w:rPr>
          <w:rFonts w:ascii="Lotus Linotype" w:hAnsi="Lotus Linotype" w:cs="Lotus Linotype"/>
          <w:szCs w:val="32"/>
          <w:rtl/>
        </w:rPr>
        <w:t xml:space="preserve"> في مجال الرقابة المالية وفقاً </w:t>
      </w:r>
      <w:r w:rsidRPr="008526A1">
        <w:rPr>
          <w:rFonts w:ascii="Lotus Linotype" w:hAnsi="Lotus Linotype" w:cs="Lotus Linotype" w:hint="cs"/>
          <w:szCs w:val="32"/>
          <w:rtl/>
        </w:rPr>
        <w:t>لنظام مكافحة غسل الأموال السعودي الصادر بالمرسوم الملكي رقم م/31 بتاريخ 11/5/1433هـ</w:t>
      </w:r>
      <w:r w:rsidR="00D12967">
        <w:rPr>
          <w:rFonts w:ascii="Lotus Linotype" w:hAnsi="Lotus Linotype" w:cs="Lotus Linotype" w:hint="cs"/>
          <w:szCs w:val="32"/>
          <w:rtl/>
        </w:rPr>
        <w:t xml:space="preserve"> </w:t>
      </w:r>
      <w:r w:rsidRPr="008526A1">
        <w:rPr>
          <w:rFonts w:ascii="Lotus Linotype" w:hAnsi="Lotus Linotype" w:cs="Lotus Linotype" w:hint="cs"/>
          <w:szCs w:val="32"/>
          <w:rtl/>
        </w:rPr>
        <w:t>،</w:t>
      </w:r>
      <w:r w:rsidRPr="008054A2">
        <w:rPr>
          <w:rFonts w:ascii="Lotus Linotype" w:hAnsi="Lotus Linotype" w:cs="Lotus Linotype"/>
          <w:szCs w:val="32"/>
          <w:rtl/>
        </w:rPr>
        <w:t xml:space="preserve"> ولائحته التنفيذية وجميع التعديلات اللاحقة ليتوافق مع هذه </w:t>
      </w:r>
      <w:r w:rsidRPr="008526A1">
        <w:rPr>
          <w:rFonts w:ascii="Lotus Linotype" w:hAnsi="Lotus Linotype" w:cs="Lotus Linotype" w:hint="cs"/>
          <w:szCs w:val="32"/>
          <w:rtl/>
        </w:rPr>
        <w:t>السياسة</w:t>
      </w:r>
      <w:r w:rsidRPr="008054A2">
        <w:rPr>
          <w:rFonts w:ascii="Lotus Linotype" w:hAnsi="Lotus Linotype" w:cs="Lotus Linotype"/>
          <w:szCs w:val="32"/>
        </w:rPr>
        <w:t>.</w:t>
      </w:r>
      <w:r w:rsidRPr="008054A2">
        <w:rPr>
          <w:rFonts w:ascii="Cambria" w:hAnsi="Cambria" w:cs="Cambria"/>
          <w:szCs w:val="32"/>
        </w:rPr>
        <w:t> </w:t>
      </w: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2A7A9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3C4A94" w:rsidRDefault="00A61E78" w:rsidP="001F2FA3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 xml:space="preserve">مؤشرات </w:t>
      </w:r>
      <w:r w:rsidR="003C45B5">
        <w:rPr>
          <w:rFonts w:hint="cs"/>
          <w:b/>
          <w:bCs/>
          <w:sz w:val="20"/>
          <w:szCs w:val="32"/>
          <w:rtl/>
        </w:rPr>
        <w:t xml:space="preserve">قد تدل </w:t>
      </w:r>
      <w:r w:rsidR="001F2FA3">
        <w:rPr>
          <w:rFonts w:hint="cs"/>
          <w:b/>
          <w:bCs/>
          <w:sz w:val="20"/>
          <w:szCs w:val="32"/>
          <w:rtl/>
        </w:rPr>
        <w:t>ارتباطا</w:t>
      </w:r>
      <w:r w:rsidR="003C45B5">
        <w:rPr>
          <w:rFonts w:hint="cs"/>
          <w:b/>
          <w:bCs/>
          <w:sz w:val="20"/>
          <w:szCs w:val="32"/>
          <w:rtl/>
        </w:rPr>
        <w:t xml:space="preserve"> </w:t>
      </w:r>
      <w:r w:rsidR="001F2FA3">
        <w:rPr>
          <w:rFonts w:hint="cs"/>
          <w:b/>
          <w:bCs/>
          <w:sz w:val="20"/>
          <w:szCs w:val="32"/>
          <w:rtl/>
        </w:rPr>
        <w:t>ب</w:t>
      </w:r>
      <w:r>
        <w:rPr>
          <w:rFonts w:hint="cs"/>
          <w:b/>
          <w:bCs/>
          <w:sz w:val="20"/>
          <w:szCs w:val="32"/>
          <w:rtl/>
        </w:rPr>
        <w:t>عمليات غسل الأموال</w:t>
      </w:r>
      <w:r w:rsidR="003C45B5">
        <w:rPr>
          <w:rFonts w:hint="cs"/>
          <w:b/>
          <w:bCs/>
          <w:sz w:val="20"/>
          <w:szCs w:val="32"/>
          <w:rtl/>
        </w:rPr>
        <w:t xml:space="preserve"> أو</w:t>
      </w:r>
      <w:r w:rsidR="001F2FA3">
        <w:rPr>
          <w:rFonts w:hint="cs"/>
          <w:b/>
          <w:bCs/>
          <w:sz w:val="20"/>
          <w:szCs w:val="32"/>
          <w:rtl/>
        </w:rPr>
        <w:t xml:space="preserve"> جرائم</w:t>
      </w:r>
      <w:r w:rsidR="003C45B5">
        <w:rPr>
          <w:rFonts w:hint="cs"/>
          <w:b/>
          <w:bCs/>
          <w:sz w:val="20"/>
          <w:szCs w:val="32"/>
          <w:rtl/>
        </w:rPr>
        <w:t xml:space="preserve"> تمويل الإرهاب</w:t>
      </w:r>
      <w:r w:rsidR="003C4A94" w:rsidRPr="003C4A94">
        <w:rPr>
          <w:rFonts w:hint="cs"/>
          <w:b/>
          <w:bCs/>
          <w:sz w:val="20"/>
          <w:szCs w:val="32"/>
          <w:rtl/>
        </w:rPr>
        <w:t>: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 w:hint="cs"/>
          <w:sz w:val="32"/>
          <w:szCs w:val="32"/>
          <w:rtl/>
        </w:rPr>
        <w:t>إ</w:t>
      </w:r>
      <w:r w:rsidRPr="00FB7DEA">
        <w:rPr>
          <w:rFonts w:ascii="Lotus Linotype" w:hAnsi="Lotus Linotype" w:cs="Lotus Linotype"/>
          <w:sz w:val="32"/>
          <w:szCs w:val="32"/>
          <w:rtl/>
        </w:rPr>
        <w:t>بداء العميل اهتماماً غير عادي بشأن الالتزام لمتطلبات مكافحة غسل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الأموال 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>أ</w:t>
      </w:r>
      <w:r w:rsidRPr="00FB7DEA">
        <w:rPr>
          <w:rFonts w:ascii="Lotus Linotype" w:hAnsi="Lotus Linotype" w:cs="Lotus Linotype"/>
          <w:sz w:val="32"/>
          <w:szCs w:val="32"/>
          <w:rtl/>
        </w:rPr>
        <w:t>و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F2FA3">
        <w:rPr>
          <w:rFonts w:ascii="Lotus Linotype" w:hAnsi="Lotus Linotype" w:cs="Lotus Linotype" w:hint="cs"/>
          <w:sz w:val="32"/>
          <w:szCs w:val="32"/>
          <w:rtl/>
        </w:rPr>
        <w:t xml:space="preserve">جرائم </w:t>
      </w:r>
      <w:r w:rsidRPr="00FB7DEA">
        <w:rPr>
          <w:rFonts w:ascii="Lotus Linotype" w:hAnsi="Lotus Linotype" w:cs="Lotus Linotype"/>
          <w:sz w:val="32"/>
          <w:szCs w:val="32"/>
          <w:rtl/>
        </w:rPr>
        <w:t>تمويل الإرهاب، وبخاصة المتعلقة بهويته ونوع عمله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رفض العميل تقديم بيانات عنه أو توضيح مصدر أمواله وأصوله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الأخرى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رغبة العميل في المشاركة في صفقات غير واضحة من حيث غرضها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القانوني أو الاقتصادي أو عدم انسجامها مع </w:t>
      </w:r>
      <w:r w:rsidR="00E04290" w:rsidRPr="00FB7DEA">
        <w:rPr>
          <w:rFonts w:ascii="Lotus Linotype" w:hAnsi="Lotus Linotype" w:cs="Lotus Linotype" w:hint="cs"/>
          <w:sz w:val="32"/>
          <w:szCs w:val="32"/>
          <w:rtl/>
        </w:rPr>
        <w:t>إستراتيجية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الاستثمار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المعلنة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محاولة العميل تزويد </w:t>
      </w:r>
      <w:r w:rsidR="008526A1" w:rsidRPr="00FB7DEA">
        <w:rPr>
          <w:rFonts w:ascii="Lotus Linotype" w:hAnsi="Lotus Linotype" w:cs="Lotus Linotype"/>
          <w:sz w:val="32"/>
          <w:szCs w:val="32"/>
          <w:rtl/>
        </w:rPr>
        <w:t>الجمعية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بمعلومات غير صحيحة أو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مضللة تتعلق بهويته و/أو مصدر أمواله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علم </w:t>
      </w:r>
      <w:r w:rsidR="008526A1" w:rsidRPr="00FB7DEA">
        <w:rPr>
          <w:rFonts w:ascii="Lotus Linotype" w:hAnsi="Lotus Linotype" w:cs="Lotus Linotype"/>
          <w:sz w:val="32"/>
          <w:szCs w:val="32"/>
          <w:rtl/>
        </w:rPr>
        <w:t>الجمعية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بتورط العميل في أنشطة غسل أموال أو </w:t>
      </w:r>
      <w:r w:rsidR="001F2FA3">
        <w:rPr>
          <w:rFonts w:ascii="Lotus Linotype" w:hAnsi="Lotus Linotype" w:cs="Lotus Linotype" w:hint="cs"/>
          <w:sz w:val="32"/>
          <w:szCs w:val="32"/>
          <w:rtl/>
        </w:rPr>
        <w:t xml:space="preserve">جرائم </w:t>
      </w:r>
      <w:r w:rsidRPr="00FB7DEA">
        <w:rPr>
          <w:rFonts w:ascii="Lotus Linotype" w:hAnsi="Lotus Linotype" w:cs="Lotus Linotype"/>
          <w:sz w:val="32"/>
          <w:szCs w:val="32"/>
          <w:rtl/>
        </w:rPr>
        <w:t>تمويل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إرهاب، أو أي مخالفات جنائية أو تنظيمية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3C45B5" w:rsidRPr="00FB7DEA" w:rsidRDefault="003C45B5" w:rsidP="003C45B5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إبداء العميل عدم الاهتمام بالمخاطر والعمولات أو أي مصاريف أخرى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F47D76" w:rsidRPr="00FB7DEA" w:rsidRDefault="003C45B5" w:rsidP="00F47D76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اشتباه </w:t>
      </w:r>
      <w:r w:rsidR="008526A1" w:rsidRPr="00FB7DEA">
        <w:rPr>
          <w:rFonts w:ascii="Lotus Linotype" w:hAnsi="Lotus Linotype" w:cs="Lotus Linotype"/>
          <w:sz w:val="32"/>
          <w:szCs w:val="32"/>
          <w:rtl/>
        </w:rPr>
        <w:t>الجمعية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في أن العميل وكيل للعمل نيابة عن موكل</w:t>
      </w:r>
      <w:r w:rsidR="00F47D76"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مجهول، وتردده وامتناعه بدون أسباب منطقية، في إعطاء معلومات عن</w:t>
      </w:r>
      <w:r w:rsidR="00F47D76"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ذلك الشخص أو الجهة</w:t>
      </w:r>
      <w:r w:rsidR="00F47D76" w:rsidRPr="00FB7DEA">
        <w:rPr>
          <w:rFonts w:ascii="Lotus Linotype" w:hAnsi="Lotus Linotype" w:cs="Lotus Linotype"/>
          <w:sz w:val="32"/>
          <w:szCs w:val="32"/>
        </w:rPr>
        <w:t xml:space="preserve">. </w:t>
      </w:r>
    </w:p>
    <w:p w:rsidR="00F47D76" w:rsidRPr="00FB7DEA" w:rsidRDefault="00F47D76" w:rsidP="00F47D76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 w:hint="cs"/>
          <w:sz w:val="32"/>
          <w:szCs w:val="32"/>
          <w:rtl/>
        </w:rPr>
        <w:t>صعوبة</w:t>
      </w:r>
      <w:r w:rsidR="003C45B5" w:rsidRPr="00FB7DEA">
        <w:rPr>
          <w:rFonts w:ascii="Lotus Linotype" w:hAnsi="Lotus Linotype" w:cs="Lotus Linotype"/>
          <w:sz w:val="32"/>
          <w:szCs w:val="32"/>
          <w:rtl/>
        </w:rPr>
        <w:t xml:space="preserve"> تقديم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 xml:space="preserve">العميل </w:t>
      </w:r>
      <w:r w:rsidR="003C45B5" w:rsidRPr="00FB7DEA">
        <w:rPr>
          <w:rFonts w:ascii="Lotus Linotype" w:hAnsi="Lotus Linotype" w:cs="Lotus Linotype"/>
          <w:sz w:val="32"/>
          <w:szCs w:val="32"/>
          <w:rtl/>
        </w:rPr>
        <w:t>وصف لطبيعة عمله أو عدم معرفته بأنشطته بشكل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C45B5" w:rsidRPr="00FB7DEA">
        <w:rPr>
          <w:rFonts w:ascii="Lotus Linotype" w:hAnsi="Lotus Linotype" w:cs="Lotus Linotype"/>
          <w:sz w:val="32"/>
          <w:szCs w:val="32"/>
          <w:rtl/>
        </w:rPr>
        <w:t>عام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3C45B5" w:rsidRDefault="003C45B5" w:rsidP="00FB7DEA">
      <w:pPr>
        <w:pStyle w:val="a7"/>
        <w:widowControl w:val="0"/>
        <w:numPr>
          <w:ilvl w:val="0"/>
          <w:numId w:val="14"/>
        </w:numPr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قيام العميل باستثمار طويل الأجل يتبعه بعد مدة وجيزة طلب تصفية</w:t>
      </w:r>
      <w:r w:rsidR="00F47D76"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الوضع الاستثماري وتحويل العائد من الحساب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FE6A6C" w:rsidRDefault="00FE6A6C" w:rsidP="00FE6A6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526A1" w:rsidRPr="00FE6A6C" w:rsidRDefault="008526A1" w:rsidP="00FE6A6C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E6A6C">
        <w:rPr>
          <w:rFonts w:ascii="Lotus Linotype" w:hAnsi="Lotus Linotype" w:cs="Lotus Linotype"/>
          <w:sz w:val="32"/>
          <w:szCs w:val="32"/>
          <w:rtl/>
        </w:rPr>
        <w:lastRenderedPageBreak/>
        <w:t>وجود اختلاف كبير بين أنشطة العميل والممارسات العادية</w:t>
      </w:r>
      <w:r w:rsidRPr="00FE6A6C">
        <w:rPr>
          <w:rFonts w:ascii="Lotus Linotype" w:hAnsi="Lotus Linotype" w:cs="Lotus Linotype"/>
          <w:sz w:val="32"/>
          <w:szCs w:val="32"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طلب العميل من الجمعية تحويل الأموال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المستحقة له لطرف آخر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ومحاولة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عدم تزويد الجمعية بأي معلومات عن الجهة والمحول إليه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ا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محاولة العميل تغيير صفقة أو إلغاءها بعد تبليغه بمتطلبات تدقيق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المعلومات أو حفظ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السجلات من الجمعية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طلب العميل إنهاء إجراءات صفقة يستخدم فيها أقل قدر ممكن من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المستندا</w:t>
      </w:r>
      <w:r w:rsidRPr="00FB7DEA">
        <w:rPr>
          <w:rFonts w:ascii="Lotus Linotype" w:hAnsi="Lotus Linotype" w:cs="Lotus Linotype" w:hint="eastAsia"/>
          <w:sz w:val="32"/>
          <w:szCs w:val="32"/>
          <w:rtl/>
        </w:rPr>
        <w:t>ت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>علم الجمعية أن الأموال أو الممتلكات إيراد من مصادر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غير مشروعة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عدم تناسب قيمة أو تكرار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التبرعات والعمليات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مع المعلومات المتوفرة عن المشتبه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به ونشاطه ودخله ونمط حياته وسلوكه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8526A1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انتماء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العميل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لمنظمة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 xml:space="preserve">غير معروفة أو </w:t>
      </w:r>
      <w:r w:rsidR="00FB7DEA" w:rsidRPr="00FB7DEA">
        <w:rPr>
          <w:rFonts w:ascii="Lotus Linotype" w:hAnsi="Lotus Linotype" w:cs="Lotus Linotype"/>
          <w:sz w:val="32"/>
          <w:szCs w:val="32"/>
          <w:rtl/>
        </w:rPr>
        <w:t>معروفة ب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نشاط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محظور</w:t>
      </w:r>
      <w:r w:rsidRPr="00FB7DEA">
        <w:rPr>
          <w:rFonts w:ascii="Lotus Linotype" w:hAnsi="Lotus Linotype" w:cs="Lotus Linotype"/>
          <w:sz w:val="32"/>
          <w:szCs w:val="32"/>
        </w:rPr>
        <w:t>.</w:t>
      </w:r>
    </w:p>
    <w:p w:rsidR="00A61E78" w:rsidRPr="00FB7DEA" w:rsidRDefault="008526A1" w:rsidP="00FB7DEA">
      <w:pPr>
        <w:pStyle w:val="a7"/>
        <w:widowControl w:val="0"/>
        <w:numPr>
          <w:ilvl w:val="0"/>
          <w:numId w:val="14"/>
        </w:numPr>
        <w:tabs>
          <w:tab w:val="left" w:pos="881"/>
        </w:tabs>
        <w:spacing w:before="240" w:after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FB7DEA">
        <w:rPr>
          <w:rFonts w:ascii="Lotus Linotype" w:hAnsi="Lotus Linotype" w:cs="Lotus Linotype"/>
          <w:sz w:val="32"/>
          <w:szCs w:val="32"/>
          <w:rtl/>
        </w:rPr>
        <w:t xml:space="preserve">ظهور علامات البذخ والرفاهية على </w:t>
      </w:r>
      <w:r w:rsidR="00FB7DEA" w:rsidRPr="00FB7DEA">
        <w:rPr>
          <w:rFonts w:ascii="Lotus Linotype" w:hAnsi="Lotus Linotype" w:cs="Lotus Linotype" w:hint="cs"/>
          <w:sz w:val="32"/>
          <w:szCs w:val="32"/>
          <w:rtl/>
        </w:rPr>
        <w:t>العميل</w:t>
      </w:r>
      <w:r w:rsidRPr="00FB7DEA">
        <w:rPr>
          <w:rFonts w:ascii="Lotus Linotype" w:hAnsi="Lotus Linotype" w:cs="Lotus Linotype"/>
          <w:sz w:val="32"/>
          <w:szCs w:val="32"/>
          <w:rtl/>
        </w:rPr>
        <w:t xml:space="preserve"> وعائلته بشكل مبالغ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فيه وبما لا يتناسب مع وضعه الاقتصادي (خاصة إذا كان بشكل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B7DEA">
        <w:rPr>
          <w:rFonts w:ascii="Lotus Linotype" w:hAnsi="Lotus Linotype" w:cs="Lotus Linotype"/>
          <w:sz w:val="32"/>
          <w:szCs w:val="32"/>
          <w:rtl/>
        </w:rPr>
        <w:t>مفاجئ</w:t>
      </w:r>
      <w:r w:rsidRPr="00FB7DEA">
        <w:rPr>
          <w:rFonts w:ascii="Lotus Linotype" w:hAnsi="Lotus Linotype" w:cs="Lotus Linotype" w:hint="cs"/>
          <w:sz w:val="32"/>
          <w:szCs w:val="32"/>
          <w:rtl/>
        </w:rPr>
        <w:t>).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FB7DEA" w:rsidRDefault="000E5978" w:rsidP="00FB7D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Pr="002464E4">
        <w:rPr>
          <w:rFonts w:ascii="Lotus Linotype" w:hAnsi="Lotus Linotype" w:cs="Lotus Linotype"/>
          <w:szCs w:val="32"/>
          <w:rtl/>
        </w:rPr>
        <w:t xml:space="preserve"> 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D12967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الاطلاع على الأنظمة المتعلقة </w:t>
      </w:r>
      <w:r w:rsidR="008526A1">
        <w:rPr>
          <w:rFonts w:ascii="Lotus Linotype" w:hAnsi="Lotus Linotype" w:cs="Lotus Linotype" w:hint="cs"/>
          <w:szCs w:val="32"/>
          <w:rtl/>
        </w:rPr>
        <w:t xml:space="preserve">بمكافحة غسل الأموال 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</w:t>
      </w:r>
      <w:r w:rsidR="008526A1">
        <w:rPr>
          <w:rFonts w:ascii="Lotus Linotype" w:hAnsi="Lotus Linotype" w:cs="Lotus Linotype" w:hint="cs"/>
          <w:szCs w:val="32"/>
          <w:rtl/>
        </w:rPr>
        <w:t>ال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إدارة </w:t>
      </w:r>
      <w:r w:rsidR="008526A1">
        <w:rPr>
          <w:rFonts w:ascii="Lotus Linotype" w:hAnsi="Lotus Linotype" w:cs="Lotus Linotype" w:hint="cs"/>
          <w:szCs w:val="32"/>
          <w:rtl/>
        </w:rPr>
        <w:t>المالية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نشر الوعي </w:t>
      </w:r>
      <w:r w:rsidR="008526A1">
        <w:rPr>
          <w:rFonts w:ascii="Lotus Linotype" w:hAnsi="Lotus Linotype" w:cs="Lotus Linotype" w:hint="cs"/>
          <w:szCs w:val="32"/>
          <w:rtl/>
        </w:rPr>
        <w:t>في ذلك الخصوص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2A7A9A" w:rsidRPr="002A7A9A" w:rsidRDefault="00FB7DEA" w:rsidP="00FB7DEA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و</w:t>
      </w:r>
      <w:r w:rsidR="002A7A9A" w:rsidRPr="002A7A9A">
        <w:rPr>
          <w:rFonts w:ascii="Lotus Linotype" w:hAnsi="Lotus Linotype" w:cs="Lotus Linotype" w:hint="cs"/>
          <w:szCs w:val="32"/>
          <w:rtl/>
        </w:rPr>
        <w:t>تحرص الجمعية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حال التعاقد مع </w:t>
      </w:r>
      <w:r w:rsidR="002A7A9A" w:rsidRPr="002A7A9A">
        <w:rPr>
          <w:rFonts w:ascii="Lotus Linotype" w:hAnsi="Lotus Linotype" w:cs="Lotus Linotype" w:hint="cs"/>
          <w:szCs w:val="32"/>
          <w:rtl/>
        </w:rPr>
        <w:t>متعاونين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</w:t>
      </w:r>
      <w:r w:rsidR="002A7A9A" w:rsidRPr="002A7A9A">
        <w:rPr>
          <w:rFonts w:ascii="Lotus Linotype" w:hAnsi="Lotus Linotype" w:cs="Lotus Linotype" w:hint="cs"/>
          <w:szCs w:val="32"/>
          <w:rtl/>
        </w:rPr>
        <w:t>على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التأكد من إتباعهم </w:t>
      </w:r>
      <w:r w:rsidR="002A7A9A" w:rsidRPr="002A7A9A">
        <w:rPr>
          <w:rFonts w:ascii="Lotus Linotype" w:hAnsi="Lotus Linotype" w:cs="Lotus Linotype" w:hint="cs"/>
          <w:szCs w:val="32"/>
          <w:rtl/>
        </w:rPr>
        <w:t>والتزامهم</w:t>
      </w:r>
      <w:r w:rsidR="002A7A9A" w:rsidRPr="002A7A9A">
        <w:rPr>
          <w:rFonts w:ascii="Lotus Linotype" w:hAnsi="Lotus Linotype" w:cs="Lotus Linotype"/>
          <w:szCs w:val="32"/>
          <w:rtl/>
        </w:rPr>
        <w:t xml:space="preserve"> بقواعد مكافحة غسل الأموال </w:t>
      </w:r>
      <w:r w:rsidR="002A7A9A" w:rsidRPr="002A7A9A">
        <w:rPr>
          <w:rFonts w:ascii="Lotus Linotype" w:hAnsi="Lotus Linotype" w:cs="Lotus Linotype" w:hint="cs"/>
          <w:szCs w:val="32"/>
          <w:rtl/>
        </w:rPr>
        <w:t>و</w:t>
      </w:r>
      <w:r w:rsidR="001F2FA3" w:rsidRPr="001F2FA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F2FA3">
        <w:rPr>
          <w:rFonts w:ascii="Lotus Linotype" w:hAnsi="Lotus Linotype" w:cs="Lotus Linotype" w:hint="cs"/>
          <w:sz w:val="32"/>
          <w:szCs w:val="32"/>
          <w:rtl/>
        </w:rPr>
        <w:t xml:space="preserve">جرائم </w:t>
      </w:r>
      <w:r w:rsidR="002A7A9A" w:rsidRPr="002A7A9A">
        <w:rPr>
          <w:rFonts w:ascii="Lotus Linotype" w:hAnsi="Lotus Linotype" w:cs="Lotus Linotype" w:hint="cs"/>
          <w:szCs w:val="32"/>
          <w:rtl/>
        </w:rPr>
        <w:t>تمويل الإرهاب</w:t>
      </w:r>
      <w:r w:rsidR="002A7A9A" w:rsidRPr="002A7A9A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2464E4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المراجع</w:t>
      </w:r>
    </w:p>
    <w:p w:rsidR="000E5978" w:rsidRPr="00144722" w:rsidRDefault="00144722" w:rsidP="00144722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 رقم (12) بتاريخ 25/11/2019م وتحل هذه السياسة محل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0E5978" w:rsidRPr="002464E4">
        <w:rPr>
          <w:rFonts w:ascii="Lotus Linotype" w:hAnsi="Lotus Linotype" w:cs="Lotus Linotype"/>
          <w:szCs w:val="32"/>
          <w:rtl/>
        </w:rPr>
        <w:t>جميع سياسا</w:t>
      </w:r>
      <w:r w:rsidR="002464E4" w:rsidRPr="002464E4">
        <w:rPr>
          <w:rFonts w:ascii="Lotus Linotype" w:hAnsi="Lotus Linotype" w:cs="Lotus Linotype"/>
          <w:szCs w:val="32"/>
          <w:rtl/>
        </w:rPr>
        <w:t>ت</w:t>
      </w:r>
      <w:r w:rsidR="00FE6A6C">
        <w:rPr>
          <w:rFonts w:ascii="Lotus Linotype" w:hAnsi="Lotus Linotype" w:cs="Lotus Linotype" w:hint="cs"/>
          <w:szCs w:val="32"/>
          <w:rtl/>
        </w:rPr>
        <w:t xml:space="preserve"> الاشتباه بعمليات غسل الأموال وجرائم تمويل الإرهاب</w:t>
      </w:r>
      <w:r w:rsidR="002464E4" w:rsidRPr="002464E4">
        <w:rPr>
          <w:rFonts w:ascii="Lotus Linotype" w:hAnsi="Lotus Linotype" w:cs="Lotus Linotype"/>
          <w:szCs w:val="32"/>
          <w:rtl/>
        </w:rPr>
        <w:t xml:space="preserve"> الموضوعة سابقا. </w:t>
      </w:r>
    </w:p>
    <w:p w:rsidR="005C53D6" w:rsidRDefault="005C53D6" w:rsidP="00E04290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144722" w:rsidRDefault="00144722" w:rsidP="00E04290">
      <w:pPr>
        <w:widowControl w:val="0"/>
        <w:spacing w:before="240" w:after="240" w:line="276" w:lineRule="auto"/>
        <w:jc w:val="both"/>
        <w:rPr>
          <w:rFonts w:ascii="Lotus Linotype" w:hAnsi="Lotus Linotype" w:cs="Lotus Linotype" w:hint="cs"/>
          <w:szCs w:val="32"/>
          <w:rtl/>
        </w:rPr>
      </w:pPr>
    </w:p>
    <w:p w:rsidR="00144722" w:rsidRDefault="00144722" w:rsidP="00E04290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5C53D6" w:rsidRDefault="005C53D6" w:rsidP="00E04290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p w:rsidR="005C53D6" w:rsidRDefault="005C53D6" w:rsidP="005C53D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الاشتباه بعمليات غسل الأموال وجرائم تمويل الإرهاب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p w:rsidR="005C53D6" w:rsidRDefault="005C53D6" w:rsidP="005C53D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Y="3181"/>
        <w:bidiVisual/>
        <w:tblW w:w="949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410"/>
      </w:tblGrid>
      <w:tr w:rsidR="005C53D6" w:rsidRPr="00884CA3" w:rsidTr="005C53D6">
        <w:trPr>
          <w:trHeight w:val="558"/>
        </w:trPr>
        <w:tc>
          <w:tcPr>
            <w:tcW w:w="9498" w:type="dxa"/>
            <w:gridSpan w:val="3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5C53D6" w:rsidRPr="00884CA3" w:rsidTr="005C53D6">
        <w:trPr>
          <w:trHeight w:val="410"/>
        </w:trPr>
        <w:tc>
          <w:tcPr>
            <w:tcW w:w="396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9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5C53D6" w:rsidRDefault="005C53D6" w:rsidP="005C53D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5C53D6" w:rsidRDefault="005C53D6" w:rsidP="005C53D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الاشتباه بعمليات غسل الأموال وجرائم تمويل الإرهاب:</w:t>
      </w:r>
    </w:p>
    <w:p w:rsidR="005C53D6" w:rsidRPr="00156708" w:rsidRDefault="005C53D6" w:rsidP="005C53D6">
      <w:pPr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5C53D6" w:rsidRPr="00884CA3" w:rsidTr="009548BC">
        <w:tc>
          <w:tcPr>
            <w:tcW w:w="9664" w:type="dxa"/>
            <w:gridSpan w:val="3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5C53D6" w:rsidRPr="00884CA3" w:rsidTr="009548BC">
        <w:tc>
          <w:tcPr>
            <w:tcW w:w="358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5C53D6" w:rsidRPr="00884CA3" w:rsidTr="009548BC">
        <w:tc>
          <w:tcPr>
            <w:tcW w:w="358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5C53D6" w:rsidRPr="00884CA3" w:rsidTr="009548BC">
        <w:tc>
          <w:tcPr>
            <w:tcW w:w="358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5C53D6" w:rsidRPr="00884CA3" w:rsidTr="009548BC">
        <w:tc>
          <w:tcPr>
            <w:tcW w:w="358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5C53D6" w:rsidRPr="00884CA3" w:rsidRDefault="005C53D6" w:rsidP="009548BC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5C53D6" w:rsidRPr="0079073C" w:rsidRDefault="005C53D6" w:rsidP="005C53D6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5C53D6" w:rsidRDefault="005C53D6" w:rsidP="005C53D6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5C53D6" w:rsidRPr="002464E4" w:rsidRDefault="005C53D6" w:rsidP="00E04290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sectPr w:rsidR="005C53D6" w:rsidRPr="002464E4" w:rsidSect="00241D6E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1440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24" w:rsidRDefault="007B7C24">
      <w:r>
        <w:separator/>
      </w:r>
    </w:p>
  </w:endnote>
  <w:endnote w:type="continuationSeparator" w:id="1">
    <w:p w:rsidR="007B7C24" w:rsidRDefault="007B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37974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7B7C24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37974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4722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7B7C24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24" w:rsidRDefault="007B7C24">
      <w:r>
        <w:separator/>
      </w:r>
    </w:p>
  </w:footnote>
  <w:footnote w:type="continuationSeparator" w:id="1">
    <w:p w:rsidR="007B7C24" w:rsidRDefault="007B7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537974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7B7C24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35"/>
    <w:multiLevelType w:val="hybridMultilevel"/>
    <w:tmpl w:val="69DE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3B92"/>
    <w:multiLevelType w:val="hybridMultilevel"/>
    <w:tmpl w:val="7A7C8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789A"/>
    <w:multiLevelType w:val="hybridMultilevel"/>
    <w:tmpl w:val="F288079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C49EA"/>
    <w:multiLevelType w:val="hybridMultilevel"/>
    <w:tmpl w:val="B352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C38C5"/>
    <w:multiLevelType w:val="hybridMultilevel"/>
    <w:tmpl w:val="4C1408A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A7425"/>
    <w:multiLevelType w:val="hybridMultilevel"/>
    <w:tmpl w:val="69DE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1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E5978"/>
    <w:rsid w:val="000F7AE9"/>
    <w:rsid w:val="00144722"/>
    <w:rsid w:val="001530C4"/>
    <w:rsid w:val="001F2FA3"/>
    <w:rsid w:val="00241D6E"/>
    <w:rsid w:val="002464E4"/>
    <w:rsid w:val="0029353C"/>
    <w:rsid w:val="002A7A9A"/>
    <w:rsid w:val="003C45B5"/>
    <w:rsid w:val="003C4A94"/>
    <w:rsid w:val="00430B28"/>
    <w:rsid w:val="005077EF"/>
    <w:rsid w:val="00526844"/>
    <w:rsid w:val="00533AC8"/>
    <w:rsid w:val="00537974"/>
    <w:rsid w:val="0056157A"/>
    <w:rsid w:val="005C53D6"/>
    <w:rsid w:val="00687FD1"/>
    <w:rsid w:val="00753778"/>
    <w:rsid w:val="007A1BA4"/>
    <w:rsid w:val="007B7C24"/>
    <w:rsid w:val="007E1E26"/>
    <w:rsid w:val="007F1FA8"/>
    <w:rsid w:val="00811BDE"/>
    <w:rsid w:val="008526A1"/>
    <w:rsid w:val="008C7C39"/>
    <w:rsid w:val="009073C3"/>
    <w:rsid w:val="0091404B"/>
    <w:rsid w:val="00A61E78"/>
    <w:rsid w:val="00B047BC"/>
    <w:rsid w:val="00B2080A"/>
    <w:rsid w:val="00BE4AF6"/>
    <w:rsid w:val="00BE5FEF"/>
    <w:rsid w:val="00BF4882"/>
    <w:rsid w:val="00C617CD"/>
    <w:rsid w:val="00CB0002"/>
    <w:rsid w:val="00CF23B7"/>
    <w:rsid w:val="00D12967"/>
    <w:rsid w:val="00D60B53"/>
    <w:rsid w:val="00D87546"/>
    <w:rsid w:val="00E04290"/>
    <w:rsid w:val="00E24242"/>
    <w:rsid w:val="00ED3445"/>
    <w:rsid w:val="00EF61A8"/>
    <w:rsid w:val="00F462BD"/>
    <w:rsid w:val="00F47D76"/>
    <w:rsid w:val="00F54328"/>
    <w:rsid w:val="00F766E6"/>
    <w:rsid w:val="00F87AEA"/>
    <w:rsid w:val="00FB7DEA"/>
    <w:rsid w:val="00FE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3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2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1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55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9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80196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05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35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35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30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794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10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428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857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34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338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4993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120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166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741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319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851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761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636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923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607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24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30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48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725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681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07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3215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98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7451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8297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8893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3645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475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180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30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0228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052032">
                                                                                                                  <w:marLeft w:val="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532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429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15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927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017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90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10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46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18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374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167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5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2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6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1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7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14419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61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401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91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07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11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83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59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64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548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982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904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244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215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318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259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261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11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820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230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394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92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398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62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8990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28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886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814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00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076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58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3665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6620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966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561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779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6212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11313">
                                                                                                                  <w:marLeft w:val="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76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431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29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1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6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7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202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90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166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82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528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8</cp:revision>
  <cp:lastPrinted>2019-11-24T07:38:00Z</cp:lastPrinted>
  <dcterms:created xsi:type="dcterms:W3CDTF">2019-09-22T04:05:00Z</dcterms:created>
  <dcterms:modified xsi:type="dcterms:W3CDTF">2019-11-24T07:39:00Z</dcterms:modified>
</cp:coreProperties>
</file>